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spacing w:after="80" w:before="0"/>
      </w:pPr>
      <w:r>
        <w:rPr>
          <w:b/>
        </w:rPr>
        <w:t>B2710 Assignment 1 Grading Rubric</w:t>
      </w:r>
    </w:p>
    <w:tbl>
      <w:tblPr>
        <w:jc w:val="left"/>
        <w:tblInd w:type="dxa" w:w="-216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1664"/>
        <w:gridCol w:w="2082"/>
        <w:gridCol w:w="2116"/>
        <w:gridCol w:w="2263"/>
        <w:gridCol w:w="1933"/>
        <w:gridCol w:w="1944"/>
        <w:gridCol w:w="1677"/>
      </w:tblGrid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1–Unacceptable</w:t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2–Unacceptable</w:t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3-Acceptable</w:t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4–Good</w:t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5-Excellent</w:t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Points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208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Completely misunderstands the enabler and/or does not apply any theory.</w:t>
            </w:r>
          </w:p>
        </w:tc>
        <w:tc>
          <w:tcPr>
            <w:tcW w:type="dxa" w:w="21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Describes the enabler but does not properly understand it. Does not justify the score or relate it to the case whatsoever.</w:t>
            </w:r>
          </w:p>
        </w:tc>
        <w:tc>
          <w:tcPr>
            <w:tcW w:type="dxa" w:w="226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Describes what the enabler is without providing a strong discussion on how they scored the enabler. Limited evidence. </w:t>
            </w:r>
          </w:p>
        </w:tc>
        <w:tc>
          <w:tcPr>
            <w:tcW w:type="dxa" w:w="193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Explains the enabler and all requisite questions with acceptable evidence.</w:t>
            </w:r>
          </w:p>
        </w:tc>
        <w:tc>
          <w:tcPr>
            <w:tcW w:type="dxa" w:w="194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Clearly explains the enabler, the company’s performance, and the score with excellent case references.</w:t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6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Leadership</w:t>
            </w:r>
          </w:p>
        </w:tc>
        <w:tc>
          <w:tcPr>
            <w:tcW w:type="dxa" w:w="208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Culture</w:t>
            </w:r>
          </w:p>
        </w:tc>
        <w:tc>
          <w:tcPr>
            <w:tcW w:type="dxa" w:w="208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Expertise</w:t>
            </w:r>
          </w:p>
        </w:tc>
        <w:tc>
          <w:tcPr>
            <w:tcW w:type="dxa" w:w="208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Governance</w:t>
            </w:r>
          </w:p>
        </w:tc>
        <w:tc>
          <w:tcPr>
            <w:tcW w:type="dxa" w:w="2082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2002"/>
            <w:gridSpan w:val="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86" w:before="86" w:line="100" w:lineRule="atLeast"/>
              <w:jc w:val="righ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Sub-total enterprise enablers</w:t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b/>
                <w:bCs/>
                <w:sz w:val="20"/>
                <w:szCs w:val="20"/>
              </w:rPr>
              <w:t>/ 32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Design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Performers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trHeight w:hRule="atLeast" w:val="215"/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Owner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Infrastructure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</w:pPr>
            <w:r>
              <w:rPr>
                <w:rFonts w:ascii="Arial" w:hAnsi="Arial"/>
                <w:sz w:val="20"/>
                <w:szCs w:val="20"/>
              </w:rPr>
              <w:t>Metrics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>/ 8</w:t>
            </w:r>
          </w:p>
        </w:tc>
      </w:tr>
      <w:tr>
        <w:trPr>
          <w:cantSplit w:val="false"/>
        </w:trPr>
        <w:tc>
          <w:tcPr>
            <w:tcW w:type="dxa" w:w="12002"/>
            <w:gridSpan w:val="6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86" w:before="86" w:line="100" w:lineRule="atLeast"/>
              <w:jc w:val="righ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Sub-total process enablers</w:t>
            </w:r>
          </w:p>
        </w:tc>
        <w:tc>
          <w:tcPr>
            <w:tcW w:type="dxa" w:w="1677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/ 40</w:t>
            </w:r>
          </w:p>
        </w:tc>
      </w:tr>
      <w:tr>
        <w:trPr>
          <w:cantSplit w:val="false"/>
        </w:trPr>
        <w:tc>
          <w:tcPr>
            <w:tcW w:type="dxa" w:w="16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Enablers which are lacking</w:t>
            </w:r>
          </w:p>
        </w:tc>
        <w:tc>
          <w:tcPr>
            <w:tcW w:type="dxa" w:w="208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Does not identify any weak enablers or make suggestions for improvements. Completely missed question.</w:t>
            </w:r>
          </w:p>
        </w:tc>
        <w:tc>
          <w:tcPr>
            <w:tcW w:type="dxa" w:w="21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Does not properly identify the weak enablers or provide relevant discussion on changes to implement.</w:t>
            </w:r>
          </w:p>
        </w:tc>
        <w:tc>
          <w:tcPr>
            <w:tcW w:type="dxa" w:w="22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Identifies some weak enablers but is not strong on explanation. Change suggestions are superficial.</w:t>
            </w:r>
          </w:p>
        </w:tc>
        <w:tc>
          <w:tcPr>
            <w:tcW w:type="dxa" w:w="19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Identifies weak enablers with reasonable justification and explanation. Change suggestions are good.</w:t>
            </w:r>
          </w:p>
        </w:tc>
        <w:tc>
          <w:tcPr>
            <w:tcW w:type="dxa" w:w="19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Identifies weak enablers with excellent explanation and justifications. Recommends strong changes to implement.</w:t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  <w:t xml:space="preserve">    </w:t>
            </w:r>
          </w:p>
          <w:p>
            <w:pPr>
              <w:pStyle w:val="style21"/>
              <w:pBdr>
                <w:top w:color="000001" w:space="0" w:sz="6" w:val="single"/>
                <w:left w:color="000001" w:space="0" w:sz="6" w:val="single"/>
                <w:bottom w:color="00000A" w:space="0" w:sz="12" w:val="single"/>
                <w:right w:color="000001" w:space="0" w:sz="6" w:val="single"/>
              </w:pBdr>
              <w:spacing w:after="0" w:before="0" w:line="100" w:lineRule="atLeast"/>
              <w:jc w:val="right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/ 28</w:t>
            </w:r>
          </w:p>
          <w:p>
            <w:pPr>
              <w:pStyle w:val="style21"/>
              <w:spacing w:after="0" w:before="0" w:line="100" w:lineRule="atLeast"/>
              <w:jc w:val="right"/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style22"/>
      </w:pPr>
      <w:r>
        <w:rPr/>
      </w:r>
    </w:p>
    <w:p>
      <w:pPr>
        <w:pStyle w:val="style22"/>
      </w:pPr>
      <w:r>
        <w:rPr>
          <w:sz w:val="20"/>
          <w:szCs w:val="20"/>
        </w:rPr>
        <w:t>Total this page:</w:t>
        <w:tab/>
        <w:tab/>
        <w:tab/>
        <w:tab/>
        <w:tab/>
        <w:tab/>
        <w:tab/>
        <w:tab/>
        <w:tab/>
        <w:tab/>
        <w:tab/>
        <w:tab/>
        <w:tab/>
        <w:tab/>
        <w:t>(A)</w:t>
        <w:tab/>
        <w:t xml:space="preserve">_____ </w:t>
        <w:tab/>
        <w:t>/ 100</w:t>
      </w:r>
    </w:p>
    <w:tbl>
      <w:tblPr>
        <w:jc w:val="left"/>
        <w:tblInd w:type="dxa" w:w="-216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1530"/>
        <w:gridCol w:w="2315"/>
        <w:gridCol w:w="2348"/>
        <w:gridCol w:w="2449"/>
        <w:gridCol w:w="1666"/>
        <w:gridCol w:w="1693"/>
        <w:gridCol w:w="1677"/>
      </w:tblGrid>
      <w:tr>
        <w:trPr>
          <w:tblHeader w:val="true"/>
          <w:cantSplit w:val="false"/>
        </w:trPr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type="dxa" w:w="23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1–Unacceptable</w:t>
            </w:r>
          </w:p>
        </w:tc>
        <w:tc>
          <w:tcPr>
            <w:tcW w:type="dxa" w:w="23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2–Unacceptable</w:t>
            </w:r>
          </w:p>
        </w:tc>
        <w:tc>
          <w:tcPr>
            <w:tcW w:type="dxa" w:w="2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3-Acceptable</w:t>
            </w:r>
          </w:p>
        </w:tc>
        <w:tc>
          <w:tcPr>
            <w:tcW w:type="dxa" w:w="16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4–Good</w:t>
            </w:r>
          </w:p>
        </w:tc>
        <w:tc>
          <w:tcPr>
            <w:tcW w:type="dxa" w:w="1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5-Excellent</w:t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sz w:val="20"/>
                <w:szCs w:val="20"/>
              </w:rPr>
              <w:t>Grade</w:t>
            </w:r>
          </w:p>
        </w:tc>
      </w:tr>
      <w:tr>
        <w:trPr>
          <w:cantSplit w:val="false"/>
        </w:trPr>
        <w:tc>
          <w:tcPr>
            <w:tcW w:type="dxa" w:w="15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E6E6E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sz w:val="20"/>
                <w:szCs w:val="20"/>
              </w:rPr>
              <w:t>Presentation &amp; Layout</w:t>
            </w:r>
          </w:p>
        </w:tc>
        <w:tc>
          <w:tcPr>
            <w:tcW w:type="dxa" w:w="231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i/>
                <w:iCs/>
                <w:sz w:val="20"/>
                <w:szCs w:val="20"/>
              </w:rPr>
              <w:t xml:space="preserve">Report is riddled with grammar mistakes and errors. Many key structural elements are missing from the paper. </w:t>
            </w:r>
          </w:p>
        </w:tc>
        <w:tc>
          <w:tcPr>
            <w:tcW w:type="dxa" w:w="23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i/>
                <w:iCs/>
                <w:sz w:val="20"/>
                <w:szCs w:val="20"/>
              </w:rPr>
              <w:t xml:space="preserve">Report has many grammar mistakes. Is missing a number of the key structural elements. Needs significant improvement to be considered strong. </w:t>
            </w:r>
          </w:p>
        </w:tc>
        <w:tc>
          <w:tcPr>
            <w:tcW w:type="dxa" w:w="244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i/>
                <w:iCs/>
                <w:sz w:val="20"/>
                <w:szCs w:val="20"/>
              </w:rPr>
              <w:t xml:space="preserve">Report is presented in a clear manner with nearly all of the key structural elements. Some grammar errors are present but they do not detract from the understanding of the writing. </w:t>
            </w:r>
          </w:p>
        </w:tc>
        <w:tc>
          <w:tcPr>
            <w:tcW w:type="dxa" w:w="166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i/>
                <w:iCs/>
                <w:sz w:val="20"/>
                <w:szCs w:val="20"/>
              </w:rPr>
              <w:t>Report is presented in a professional manner with minor grammatical errors.</w:t>
            </w:r>
          </w:p>
        </w:tc>
        <w:tc>
          <w:tcPr>
            <w:tcW w:type="dxa" w:w="169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spacing w:after="0" w:before="0" w:line="100" w:lineRule="atLeast"/>
              <w:jc w:val="left"/>
            </w:pPr>
            <w:r>
              <w:rPr>
                <w:i/>
                <w:iCs/>
                <w:sz w:val="20"/>
                <w:szCs w:val="20"/>
              </w:rPr>
              <w:t>Report is presented in a professional manner with all required components and no e</w:t>
            </w:r>
            <w:bookmarkStart w:id="0" w:name="_GoBack"/>
            <w:r>
              <w:rPr>
                <w:i/>
                <w:iCs/>
                <w:sz w:val="20"/>
                <w:szCs w:val="20"/>
              </w:rPr>
              <w:t>r</w:t>
            </w:r>
            <w:bookmarkEnd w:id="0"/>
            <w:r>
              <w:rPr>
                <w:i/>
                <w:iCs/>
                <w:sz w:val="20"/>
                <w:szCs w:val="20"/>
              </w:rPr>
              <w:t>rors.</w:t>
            </w:r>
          </w:p>
        </w:tc>
        <w:tc>
          <w:tcPr>
            <w:tcW w:type="dxa" w:w="16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style21"/>
              <w:spacing w:after="0" w:before="0" w:line="100" w:lineRule="atLeast"/>
              <w:jc w:val="center"/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style21"/>
              <w:pBdr>
                <w:top w:color="000001" w:space="0" w:sz="6" w:val="single"/>
                <w:left w:color="000001" w:space="0" w:sz="6" w:val="single"/>
                <w:bottom w:color="00000A" w:space="0" w:sz="12" w:val="single"/>
                <w:right w:color="000001" w:space="0" w:sz="6" w:val="single"/>
              </w:pBdr>
              <w:spacing w:after="0" w:before="0" w:line="100" w:lineRule="atLeast"/>
              <w:jc w:val="right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/ 100</w:t>
            </w:r>
          </w:p>
        </w:tc>
      </w:tr>
    </w:tbl>
    <w:p>
      <w:pPr>
        <w:pStyle w:val="style21"/>
      </w:pPr>
      <w:r>
        <w:rPr>
          <w:sz w:val="20"/>
          <w:szCs w:val="20"/>
        </w:rPr>
      </w:r>
    </w:p>
    <w:p>
      <w:pPr>
        <w:pStyle w:val="style21"/>
      </w:pPr>
      <w:r>
        <w:rPr>
          <w:sz w:val="20"/>
          <w:szCs w:val="20"/>
        </w:rPr>
        <w:t>Total this page:</w:t>
        <w:tab/>
        <w:tab/>
        <w:tab/>
        <w:tab/>
        <w:tab/>
        <w:tab/>
        <w:tab/>
        <w:tab/>
        <w:tab/>
        <w:tab/>
        <w:tab/>
        <w:tab/>
        <w:tab/>
        <w:tab/>
        <w:t>(B)</w:t>
        <w:tab/>
        <w:t>______ / 100</w:t>
      </w:r>
    </w:p>
    <w:p>
      <w:pPr>
        <w:pStyle w:val="style21"/>
      </w:pPr>
      <w:r>
        <w:rPr>
          <w:sz w:val="20"/>
          <w:szCs w:val="20"/>
        </w:rPr>
        <w:t>Previous page:</w:t>
        <w:tab/>
        <w:tab/>
        <w:tab/>
        <w:tab/>
        <w:tab/>
        <w:tab/>
        <w:tab/>
        <w:tab/>
        <w:tab/>
        <w:tab/>
        <w:tab/>
        <w:tab/>
        <w:tab/>
        <w:tab/>
        <w:t>(A)</w:t>
        <w:tab/>
        <w:t>______ / 100</w:t>
      </w:r>
    </w:p>
    <w:p>
      <w:pPr>
        <w:pStyle w:val="style21"/>
      </w:pPr>
      <w:r>
        <w:rPr>
          <w:b/>
          <w:bCs/>
          <w:sz w:val="20"/>
          <w:szCs w:val="20"/>
        </w:rPr>
        <w:t>Overall Total = (A) x (B) = ___________</w:t>
      </w:r>
    </w:p>
    <w:p>
      <w:pPr>
        <w:pStyle w:val="style21"/>
      </w:pPr>
      <w:r>
        <w:rPr>
          <w:sz w:val="20"/>
          <w:szCs w:val="20"/>
        </w:rPr>
      </w:r>
    </w:p>
    <w:p>
      <w:pPr>
        <w:pStyle w:val="style21"/>
        <w:widowControl/>
        <w:suppressAutoHyphens w:val="true"/>
        <w:spacing w:after="200" w:before="0" w:line="276" w:lineRule="auto"/>
      </w:pPr>
      <w:r>
        <w:rPr>
          <w:sz w:val="20"/>
          <w:szCs w:val="20"/>
        </w:rPr>
      </w:r>
    </w:p>
    <w:sectPr>
      <w:footerReference r:id="rId2" w:type="even"/>
      <w:footerReference r:id="rId3" w:type="default"/>
      <w:type w:val="nextPage"/>
      <w:pgSz w:h="12240" w:orient="landscape" w:w="15840"/>
      <w:pgMar w:bottom="1693" w:footer="1134" w:gutter="0" w:header="0" w:left="1134" w:right="1134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3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3"/>
    </w:pPr>
    <w:r>
      <w:rPr>
        <w:rFonts w:ascii="Calibri" w:hAnsi="Calibri"/>
        <w:sz w:val="20"/>
        <w:szCs w:val="20"/>
      </w:rPr>
      <w:t>Continued on reverse side</w:t>
    </w:r>
  </w:p>
</w:ftr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20" w:val="left"/>
      </w:tabs>
      <w:suppressAutoHyphens w:val="true"/>
    </w:pPr>
    <w:rPr>
      <w:rFonts w:ascii="Liberation Serif" w:cs="Lohit Hindi" w:eastAsia="WenQuanYi Micro Hei" w:hAnsi="Liberation Serif"/>
      <w:color w:val="00000A"/>
      <w:sz w:val="24"/>
      <w:szCs w:val="24"/>
      <w:lang w:bidi="hi-IN" w:eastAsia="zh-CN" w:val="en-CA"/>
    </w:rPr>
  </w:style>
  <w:style w:styleId="style15" w:type="character">
    <w:name w:val="Default Paragraph Font"/>
    <w:next w:val="style15"/>
    <w:rPr/>
  </w:style>
  <w:style w:styleId="style16" w:type="paragraph">
    <w:name w:val="Heading"/>
    <w:next w:val="style17"/>
    <w:pPr>
      <w:keepNext/>
      <w:widowControl w:val="false"/>
      <w:tabs>
        <w:tab w:leader="none" w:pos="720" w:val="left"/>
      </w:tabs>
      <w:suppressAutoHyphens w:val="true"/>
      <w:spacing w:after="120" w:before="240"/>
    </w:pPr>
    <w:rPr>
      <w:rFonts w:ascii="Liberation Sans;Arial" w:cs="Lohit Hindi" w:eastAsia="WenQuanYi Micro Hei" w:hAnsi="Liberation Sans;Arial"/>
      <w:color w:val="auto"/>
      <w:sz w:val="28"/>
      <w:szCs w:val="28"/>
      <w:lang w:bidi="hi-IN" w:eastAsia="zh-CN" w:val="en-CA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next w:val="style18"/>
    <w:pPr>
      <w:widowControl w:val="false"/>
      <w:tabs>
        <w:tab w:leader="none" w:pos="720" w:val="left"/>
      </w:tabs>
      <w:suppressAutoHyphens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CA"/>
    </w:rPr>
  </w:style>
  <w:style w:styleId="style19" w:type="paragraph">
    <w:name w:val="Caption"/>
    <w:next w:val="style19"/>
    <w:pPr>
      <w:widowControl w:val="false"/>
      <w:suppressLineNumbers/>
      <w:tabs>
        <w:tab w:leader="none" w:pos="720" w:val="left"/>
      </w:tabs>
      <w:suppressAutoHyphens w:val="true"/>
      <w:spacing w:after="120" w:before="120"/>
    </w:pPr>
    <w:rPr>
      <w:rFonts w:ascii="Arial" w:cs="Lohit Hindi" w:eastAsia="WenQuanYi Micro Hei" w:hAnsi="Arial"/>
      <w:i/>
      <w:iCs/>
      <w:color w:val="auto"/>
      <w:sz w:val="24"/>
      <w:szCs w:val="24"/>
      <w:lang w:bidi="hi-IN" w:eastAsia="zh-CN" w:val="en-CA"/>
    </w:rPr>
  </w:style>
  <w:style w:styleId="style20" w:type="paragraph">
    <w:name w:val="Index"/>
    <w:next w:val="style20"/>
    <w:pPr>
      <w:widowControl w:val="false"/>
      <w:suppressLineNumbers/>
      <w:tabs>
        <w:tab w:leader="none" w:pos="720" w:val="left"/>
      </w:tabs>
      <w:suppressAutoHyphens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CA"/>
    </w:rPr>
  </w:style>
  <w:style w:styleId="style21" w:type="paragraph">
    <w:name w:val="Default Style"/>
    <w:next w:val="style21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Calibri" w:eastAsia="WenQuanYi Micro Hei" w:hAnsi="Calibri"/>
      <w:color w:val="00000A"/>
      <w:sz w:val="22"/>
      <w:szCs w:val="22"/>
      <w:lang w:bidi="ar-SA" w:eastAsia="en-US" w:val="en-US"/>
    </w:rPr>
  </w:style>
  <w:style w:styleId="style22" w:type="paragraph">
    <w:name w:val="Text Body"/>
    <w:basedOn w:val="style21"/>
    <w:next w:val="style22"/>
    <w:pPr>
      <w:spacing w:after="120" w:before="0"/>
    </w:pPr>
    <w:rPr/>
  </w:style>
  <w:style w:styleId="style23" w:type="paragraph">
    <w:name w:val="Footer"/>
    <w:basedOn w:val="style0"/>
    <w:next w:val="style23"/>
    <w:pPr>
      <w:suppressLineNumbers/>
      <w:tabs>
        <w:tab w:leader="none" w:pos="6480" w:val="center"/>
        <w:tab w:leader="none" w:pos="12960" w:val="right"/>
      </w:tabs>
    </w:pPr>
    <w:rPr/>
  </w:style>
  <w:style w:styleId="style24" w:type="paragraph">
    <w:name w:val="Table Contents"/>
    <w:basedOn w:val="style0"/>
    <w:next w:val="style24"/>
    <w:pPr>
      <w:suppressLineNumbers/>
    </w:pPr>
    <w:rPr/>
  </w:style>
  <w:style w:styleId="style25" w:type="paragraph">
    <w:name w:val="Table Heading"/>
    <w:basedOn w:val="style24"/>
    <w:next w:val="style25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2013-02-06T02:49:00.00Z</dcterms:created>
  <dc:creator>Terry</dc:creator>
  <cp:lastModifiedBy>Terry</cp:lastModifiedBy>
  <cp:lastPrinted>2013-10-10T08:31:43.00Z</cp:lastPrinted>
  <dcterms:modified xsi:type="dcterms:W3CDTF">2013-02-06T04:15:00.00Z</dcterms:modified>
  <cp:revision>8</cp:revision>
</cp:coreProperties>
</file>